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2C2F7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2F7B">
        <w:rPr>
          <w:rFonts w:ascii="Times New Roman" w:hAnsi="Times New Roman"/>
          <w:sz w:val="28"/>
          <w:szCs w:val="28"/>
        </w:rPr>
        <w:t>Ставропольский государственный 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719DA" w:rsidRPr="00FC6DF6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</w:t>
      </w:r>
      <w:proofErr w:type="gramStart"/>
      <w:r w:rsidRPr="002B62C8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 программы подготовки специалистов среднего звена</w:t>
      </w:r>
      <w:proofErr w:type="gramEnd"/>
    </w:p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0C4043">
        <w:rPr>
          <w:rFonts w:ascii="Times New Roman" w:hAnsi="Times New Roman" w:cs="Times New Roman"/>
          <w:sz w:val="28"/>
          <w:szCs w:val="28"/>
        </w:rPr>
        <w:t xml:space="preserve">36.02.01Ветеринария  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48E" w:rsidRDefault="00B1548E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38"/>
        <w:tblpPr w:leftFromText="180" w:rightFromText="180" w:vertAnchor="text" w:tblpY="1"/>
        <w:tblOverlap w:val="never"/>
        <w:tblW w:w="4875" w:type="pct"/>
        <w:tblLayout w:type="fixed"/>
        <w:tblLook w:val="04A0" w:firstRow="1" w:lastRow="0" w:firstColumn="1" w:lastColumn="0" w:noHBand="0" w:noVBand="1"/>
      </w:tblPr>
      <w:tblGrid>
        <w:gridCol w:w="536"/>
        <w:gridCol w:w="1841"/>
        <w:gridCol w:w="218"/>
        <w:gridCol w:w="5876"/>
        <w:gridCol w:w="6666"/>
      </w:tblGrid>
      <w:tr w:rsidR="00BC7D6B" w:rsidRPr="00FC6DF6" w:rsidTr="007F50D0">
        <w:tc>
          <w:tcPr>
            <w:tcW w:w="177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8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13" w:type="pct"/>
            <w:gridSpan w:val="2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202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</w:tr>
      <w:tr w:rsidR="00D72BE6" w:rsidRPr="00FC6DF6" w:rsidTr="007F50D0">
        <w:tc>
          <w:tcPr>
            <w:tcW w:w="177" w:type="pc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D72BE6" w:rsidRPr="00FC6DF6" w:rsidTr="007F50D0">
        <w:tc>
          <w:tcPr>
            <w:tcW w:w="177" w:type="pc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2013" w:type="pct"/>
            <w:gridSpan w:val="2"/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 Иностранный язык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606) (22,9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 № 608) (24,2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 xml:space="preserve">Спортивный стадион (сооружение) </w:t>
            </w: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) четверной, размеры: длина 9200 (2000, 2000, 2000, 3500) мм, ширина 1750 мм, высота 3500 (2500-3000, 3000, 3000-3500, 3500)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лабиринт, размеры: длина 7000 мм, ширина 2500 мм, высота 1100 мм;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Pr="001D15F3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Спортивный зал</w:t>
            </w:r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площадь – 650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трибуны на 300 посадочных мест, электронное табло – 1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ольца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шт.,корзина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мячей – 2 шт.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BD285A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BD285A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ворота мини-футбольные – 2 шт., сетка для мини-футбольных ворот – 2 шт., мяч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футзальный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тяжёлой атлетики, площадь 210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залатяжёлой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атлетики: стойки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Елитко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пауэрлифтинга – 5 шт., тренажёр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Гиперэкстензия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шт., наклонная скамья для брюшного пресса – 3 шт., скамья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Скотта – 2 шт., тренажёр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Гаккеншмита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-гриф – 10кг. – 3 шт., гриф 20 кг. – 8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-наглядные пособия в виде, тематических плакатов.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бодибары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40 шт., стойка для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бодибаров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шт., гантели – 60 шт., стойка для гантелей – 3 шт., амортизаторы для фитнеса (кольцо) – 13шт., экспандер многофункциональный – 20шт., набивные мячи – 26 шт.,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фитболы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 шт., коврик гимнастический – 25 шт., скакалки – 8 </w:t>
            </w:r>
            <w:proofErr w:type="spellStart"/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Pr="00BD285A" w:rsidRDefault="007F50D0" w:rsidP="007F50D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7F50D0" w:rsidRPr="001D15F3" w:rsidRDefault="007F50D0" w:rsidP="007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D285A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</w:t>
            </w:r>
            <w:proofErr w:type="spellEnd"/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площадки: широкий турник – 2шт., гнутые брусья – 1 шт., шведская стенка – 2 шт., четверной каскад турников для отжиманий и подтягиваний–1,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гексагон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русья двойные для отжиманий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1шт., лавка с упорами «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»–1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single" w:sz="4" w:space="0" w:color="auto"/>
            </w:tcBorders>
          </w:tcPr>
          <w:p w:rsidR="007F50D0" w:rsidRPr="00BD285A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single" w:sz="4" w:space="0" w:color="auto"/>
            </w:tcBorders>
            <w:vAlign w:val="center"/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универсальной площадки для игры в баскетбол: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кольца баскетбольные-2шт.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) четверной, размеры: длина 9200 (2000, 2000, 2000, 3500) мм, ширина 1750 мм, высота 3500 (2500-3000, 3000, 3000-3500, 3500)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7F50D0" w:rsidRPr="00FC6DF6" w:rsidTr="004D4F5F">
        <w:trPr>
          <w:trHeight w:val="1390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3B98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C3B98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FC3B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D366C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</w:tr>
      <w:tr w:rsidR="007F50D0" w:rsidRPr="00FC6DF6" w:rsidTr="004D4F5F">
        <w:trPr>
          <w:trHeight w:val="1942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</w:t>
            </w:r>
            <w:proofErr w:type="spellEnd"/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D366CF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площадки: широкий турник – 2шт., гнутые брусья – 1 шт., шведская стенка – 2 шт., четверной каскад турников для отжиманий и подтягиваний-1,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гексагон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турников – 2шт., скамья для пресса – 2 шт., змейка-1шт.,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брусья двойные для отжиманий </w:t>
            </w:r>
            <w:proofErr w:type="spell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1шт., лавка с упорами «Воркаут»-1 шт.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учебный цикл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Экологические основы природопользования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№519) (39,9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8B409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№519) (39,9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09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rPr>
          <w:trHeight w:val="1919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№519) (39,9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270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Профессиональный учебный цикл</w:t>
            </w:r>
          </w:p>
        </w:tc>
      </w:tr>
      <w:tr w:rsidR="007F50D0" w:rsidRPr="00FC6DF6" w:rsidTr="007F50D0">
        <w:trPr>
          <w:trHeight w:val="270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ОП.01 Анатомия и физиология животных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ОП.02 Латинский язык в ветеринарии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языка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языка  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 Основы микробиологии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ОП.04 Основы зоотехнии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355017, Ставропольский край, город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ОП.05 Ветеринарная фармакология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ОП.06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16Licenses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</w:rPr>
              <w:t xml:space="preserve">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(48,9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16Licenses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 № 11/044/18 от 23.11.2018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2E6126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4091" w:rsidRPr="00FC6DF6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B4091" w:rsidRPr="00FC6DF6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заказа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лицензии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8B4091" w:rsidRPr="00632FA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информационных технологий в </w:t>
            </w:r>
            <w:r w:rsidRPr="00FC6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 на 25 посадочных мест, 12 рабочих станций,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16Licenses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</w:rPr>
              <w:t xml:space="preserve">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License/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Academic OLV 16Licenses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C6DF6">
              <w:rPr>
                <w:rFonts w:ascii="Times New Roman" w:hAnsi="Times New Roman"/>
                <w:sz w:val="20"/>
                <w:szCs w:val="20"/>
              </w:rPr>
              <w:t xml:space="preserve">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ОП.07 Правовое обеспечение ветеринарной 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 Метрология, стандартизация и подтверждение качества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49,3 </w:t>
            </w:r>
            <w:proofErr w:type="spell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302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Kraftway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Credo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KC36 – 4 </w:t>
            </w:r>
            <w:proofErr w:type="spellStart"/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spellEnd"/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биенемер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ШЦ2, ШЦЗ);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штангенглубиномеры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</w:t>
            </w: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49,3 </w:t>
            </w:r>
            <w:proofErr w:type="spell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302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Kraftway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Credo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KC36 – 4 </w:t>
            </w:r>
            <w:proofErr w:type="spellStart"/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spellEnd"/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биенемер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ШЦ2, ШЦЗ);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штангенглубиномеры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</w:t>
            </w: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49,3 </w:t>
            </w:r>
            <w:proofErr w:type="spell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Kraftway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Credo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KC36 – 4 </w:t>
            </w:r>
            <w:proofErr w:type="spellStart"/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spellEnd"/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биенемер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ШЦ2, ШЦЗ);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штангенглубиномеры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ОП.09 Основы экономики, менеджмента и маркетинга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305) (70,7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305) (70,7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  <w:r w:rsidR="008B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305) (70,7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ОП.10 Охрана труда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7F50D0" w:rsidRDefault="007F50D0" w:rsidP="007F50D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Аудитория «Специальной,  тактической и огневой подготовки» (50,9 </w:t>
            </w:r>
            <w:proofErr w:type="spellStart"/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FC6DF6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FC6DF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F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7F50D0" w:rsidRDefault="007F50D0" w:rsidP="007F50D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Аудитория «Специальной,  тактической и огневой подготовки» (50,9 </w:t>
            </w:r>
            <w:proofErr w:type="spellStart"/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FC6DF6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FC6DF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F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spell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ОП.12 Патологическая анатомия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патологической физиологии и патологической анатомии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№28) (57,4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патологической физиологии и патологической анатомии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1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2A46BD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-60.2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6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(13,176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.); смеситель-модуль для смешивания и последующего гранулирования ингредиентов (корм); станок для фиксации животных; стойловое оборудование для КРС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.) – 6 шт.; Стол квадратный; фрагмент клеточного оборудования КП 25ВМ из одного пояса;</w:t>
            </w:r>
          </w:p>
          <w:p w:rsidR="007F50D0" w:rsidRPr="00AE61BF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305) (70,7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305) (70,7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305) (70,7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8B4091" w:rsidRDefault="007F50D0" w:rsidP="007F50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ПМ.01 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309) (46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Кьельдалю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UDK 142,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дегистор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ДК-20, Баня ПЭ 4300, дистиллятор ДЭ-10, печь МИМП-УЭ, фотометр фотоэлектрический КФК 3-01, универсальный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титратор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DL 15S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Mettler-Toledo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анализатор мочи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DocUReader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планетарная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микромельница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Fritsch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Pulverisette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жидкостной хроматограф LC-20, универсальный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спектроскан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Multiwave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3000, шейкер KS260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basik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бидистиллятор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быстроходная роторная мельница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Пульверизетте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14»,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вискозиметрический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анализатор соматических клеток в молоке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Соматос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-М» (модернизированный), экспертная система МС 300 (TS),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комплектующим оборудованием, анализатор молока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LactoStar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анализатор влажности кормов MB 45, автоматический гематологический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Abacus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Junior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(13,176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.); смеситель-модуль для смешивания и последующего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гранулирования ингредиентов (корм); станок для фиксации животных; стойловое оборудование для КРС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309) (46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Кьельдалю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UDK 142,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дегистор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ДК-20, Баня ПЭ 4300, дистиллятор ДЭ-10, печь МИМП-УЭ, фотометр фотоэлектрический КФК 3-01, универсальный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титратор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DL 15S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Mettler-Toledo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анализатор мочи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DocUReader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планетарная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микромельница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Fritsch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Pulverisette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жидкостной хроматограф LC-20, универсальный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спектроскан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Multiwave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3000, шейкер KS260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basik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бидистиллятор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быстроходная роторная мельница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Пульверизетте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14»,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вискозиметрический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анализатор соматических клеток в молоке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Соматос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-М» (модернизированный), экспертная система МС 300 (TS),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комплектующим оборудованием, анализатор молока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LactoStar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анализатор влажности кормов MB 45, автоматический гематологический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Abacus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Junior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309)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(46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Кьельдалю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UDK 142,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дегистор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ДК-20, Баня ПЭ 4300, дистиллятор ДЭ-10, печь МИМП-УЭ, фотометр фотоэлектрический КФК 3-01, универсальный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титратор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DL 15S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Mettler-Toledo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анализатор мочи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DocUReader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планетарная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микромельница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Fritsch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Pulverisette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жидкостной хроматограф LC-20, универсальный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спектроскан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Multiwave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3000, шейкер KS260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basik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бидистиллятор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быстроходная роторная мельница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Пульверизетте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14»,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вискозиметрический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анализатор соматических клеток в молоке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Соматос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-М» (модернизированный), экспертная система МС 300 (TS),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комплектующим оборудованием, анализатор молока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LactoStar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анализатор влажности кормов MB 45, автоматический гематологический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Abacus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Junior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309) (46 </w:t>
            </w:r>
            <w:proofErr w:type="spell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Кьельдалю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UDK 142,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дегистор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ДК-20, Баня ПЭ 4300, дистиллятор ДЭ-10, печь МИМП-УЭ, фотометр фотоэлектрический КФК 3-01, универсальный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титратор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DL 15S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Mettler-Toledo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анализатор мочи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DocUReader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планетарная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микромельница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Fritsch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Pulverisette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жидкостной хроматограф LC-20, универсальный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спектроскан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Multiwave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3000, шейкер KS260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basik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бидистиллятор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быстроходная роторная мельница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Пульверизетте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14»,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вискозиметрический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анализатор соматических клеток в молоке «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Соматос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-М» (модернизированный), экспертная система МС 300 (TS),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комплектующим оборудованием, анализатор молока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LactoStar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анализатор влажности кормов MB 45, автоматический гематологический анализатор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Abacus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Junior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ПМ.02 Участие в диагностике и лечении заболеваний сельскохозяйственных животных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№44) (54,0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30 посадочных мест,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микроскопы, термостаты, центрифуги,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№44) (54,0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№44) (54,0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30 посадочных мест,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микроскопы, термостаты, центрифуги,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№44) (54,0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ПМ.03 Участие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(13,176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.); смеситель-модуль для смешивания и последующего гранулирования ингредиентов (корм); станок для фиксации животных; стойловое оборудование для КРС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ПМ.04 Проведение санитарно-просветительской деятельности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lastRenderedPageBreak/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F50D0" w:rsidRDefault="00CA739D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</w:tc>
        <w:tc>
          <w:tcPr>
            <w:tcW w:w="2202" w:type="pct"/>
          </w:tcPr>
          <w:p w:rsidR="007F50D0" w:rsidRPr="00C35982" w:rsidRDefault="007F50D0" w:rsidP="007F50D0">
            <w:pPr>
              <w:shd w:val="clear" w:color="auto" w:fill="FFFFFF"/>
              <w:jc w:val="both"/>
              <w:rPr>
                <w:rFonts w:ascii="Times New Roman" w:eastAsia="MS Reference Sans Serif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Лабораторное оборудование: лабораторная посуда, центрифуга IRF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mini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PCV-2400, магнитная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мешалкаводяная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баня, сушильный 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шкаф, </w:t>
            </w:r>
            <w:proofErr w:type="spellStart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дистилятор</w:t>
            </w:r>
            <w:proofErr w:type="spellEnd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вытяжной шкаф</w:t>
            </w:r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рентгенкабинет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рентгенаппарат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R-скопии и графии, физиотерапевтический кабинет (аппараты УВЧ-терапии), гальванизации, диатермии ПРК-УФЛ,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дерсанвализации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СВЧ,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солюкс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лампа Мин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ина, САГ -1 для </w:t>
            </w:r>
            <w:proofErr w:type="spellStart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аэрозолетерапии</w:t>
            </w:r>
            <w:proofErr w:type="spellEnd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рефрактометр,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 BDA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, центрифуги,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жиромеры, овоскоп,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компрессориумы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, ареометр SY-DIG, лаборатория для исследования мяса,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ермостат, сушильный шкаф R7-RUS,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t>стерилизатор паровой 3850 MVL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>(62л.); шкаф вытяжной с вентилятором ШВ-1,0 «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-с», прибор для измерения 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>-восстановительных потенциалов ФЕ 20-Kit;  система дистилляции воды, ДЭ-4, центрифуга Т-51, микроскопы ДН-860, лабораторные весы ВСП-1-(0,6кг/0,1г)</w:t>
            </w:r>
            <w:proofErr w:type="gramStart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аппарат охлаждения материала 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Beko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СS 338022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7F50D0" w:rsidRPr="00FC6DF6" w:rsidTr="007F50D0">
        <w:trPr>
          <w:trHeight w:val="3450"/>
        </w:trPr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8" w:type="pct"/>
            <w:vMerge w:val="restart"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№41) (48,1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№46) (76,5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трихинеллоскоп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BDA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Box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компрессориумы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Epson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PI/A4, МФУ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AR-160 A3, плоттер HP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DesignJet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130 A1 струйный, принтер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LBP-3000,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экран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Projecta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Professioal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200x200, режущий плоттер GX-400, имеются программные продукты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Realtime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Landscaping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Architekct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Рубин 90,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электрокимографы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микроскопы, индукционные катушки, электрокардиограф,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электрогастрограф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термостаты, центрифуги, фонендоскопы, тонометры,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препаровальные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(13,176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.); смеситель-модуль для смешивания и последующего гранулирования ингредиентов (корм); станок для фиксации животных; стойловое оборудование для КРС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rPr>
          <w:trHeight w:val="1025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F50D0" w:rsidRDefault="00CA739D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C35982" w:rsidRDefault="007F50D0" w:rsidP="007F50D0">
            <w:pPr>
              <w:shd w:val="clear" w:color="auto" w:fill="FFFFFF"/>
              <w:jc w:val="both"/>
              <w:rPr>
                <w:rFonts w:ascii="Times New Roman" w:eastAsia="MS Reference Sans Serif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Лабораторное оборудование: лабораторная посуда, центрифуга IRF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mini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PCV-2400, магнитная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мешалкаводяная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баня, сушильный 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шкаф, </w:t>
            </w:r>
            <w:proofErr w:type="spellStart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дистилятор</w:t>
            </w:r>
            <w:proofErr w:type="spellEnd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вытяжной шкаф</w:t>
            </w:r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рентгенкабинет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рентгенаппарат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R-скопии и графии, физиотерапевтический кабинет (аппараты УВЧ-терапии), гальванизации, диатермии ПРК-УФЛ,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дерсанвализации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СВЧ, </w:t>
            </w:r>
            <w:proofErr w:type="spell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солюкс</w:t>
            </w:r>
            <w:proofErr w:type="spellEnd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лампа Мин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ина, САГ -1 для </w:t>
            </w:r>
            <w:proofErr w:type="spellStart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аэрозолетерапии</w:t>
            </w:r>
            <w:proofErr w:type="spellEnd"/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рефрактометр,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 BDA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, центрифуги, жиромеры, овоскоп, </w:t>
            </w:r>
            <w:proofErr w:type="spellStart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компрессориумы</w:t>
            </w:r>
            <w:proofErr w:type="spellEnd"/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, ареометр SY-DIG, лаборатория для исследования мяса,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ермостат, сушильный шкаф R7-RUS,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t>стерилизатор паровой 3850 MVL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>(62л.); шкаф вытяжной с вентилятором ШВ-1,0 «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-с», прибор для измерения 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-восстановительных потенциалов ФЕ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lastRenderedPageBreak/>
              <w:t>20-Kit;  система дистилляции воды, ДЭ-4, центрифуга Т-51, микроскопы ДН-860, лабораторные весы ВСП-1-(0,6кг/0,1г)</w:t>
            </w:r>
            <w:proofErr w:type="gramStart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аппарат охлаждения материала </w:t>
            </w:r>
            <w:proofErr w:type="spellStart"/>
            <w:r w:rsidRPr="008659A1">
              <w:rPr>
                <w:rFonts w:ascii="Times New Roman" w:hAnsi="Times New Roman"/>
                <w:sz w:val="24"/>
                <w:szCs w:val="24"/>
              </w:rPr>
              <w:t>Beko</w:t>
            </w:r>
            <w:proofErr w:type="spell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СS 338022</w:t>
            </w:r>
          </w:p>
        </w:tc>
      </w:tr>
      <w:tr w:rsidR="00CA739D" w:rsidRPr="00FC6DF6" w:rsidTr="007F50D0">
        <w:tc>
          <w:tcPr>
            <w:tcW w:w="177" w:type="pct"/>
            <w:vMerge/>
          </w:tcPr>
          <w:p w:rsidR="00CA739D" w:rsidRPr="00FC6DF6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FC6DF6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39D" w:rsidRDefault="00CA739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39D" w:rsidRPr="00FC6DF6" w:rsidRDefault="00CA739D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CA739D" w:rsidRPr="00BC7D6B" w:rsidTr="007F50D0">
        <w:tc>
          <w:tcPr>
            <w:tcW w:w="177" w:type="pct"/>
            <w:vMerge/>
          </w:tcPr>
          <w:p w:rsidR="00CA739D" w:rsidRPr="00FC6DF6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FC6DF6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739D" w:rsidRDefault="00CA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CA739D" w:rsidRDefault="00CA739D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Pr="00FC6DF6" w:rsidRDefault="00CA739D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A739D" w:rsidRPr="00BC7D6B" w:rsidTr="007F50D0">
        <w:tc>
          <w:tcPr>
            <w:tcW w:w="177" w:type="pct"/>
            <w:vMerge/>
          </w:tcPr>
          <w:p w:rsidR="00CA739D" w:rsidRPr="00BC7D6B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BC7D6B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739D" w:rsidRDefault="00CA739D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Pr="00FC6DF6" w:rsidRDefault="00CA739D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организации ветеринарного дела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ветеринарной хирургии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48)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</w:t>
            </w:r>
            <w:proofErr w:type="spellStart"/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x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ирургические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наборы, макропрепараты, автоклав, операционные столы для различных животных, термостаты,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стерилизаторыи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биксы, прямое интерактивное соединение операционных блоков с видеозалом и компьютером, ортопедические инструменты, офтальмологические инструменты, учебные стенды,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электронаркоз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организации ветеринарного дела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104) (84,9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Microtabs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автоклав, сухожаровой шкаф UFE500,Memmert, питательные среды, лабораторная посуда, световые микроскопы, холодильники,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растворыи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красок, мультимедийное оборудование: ноутбук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Accer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Soni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VPL-CX76, интерактивная доска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Hitachi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StarBoard</w:t>
            </w:r>
            <w:proofErr w:type="spell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EE5DE0" w:rsidRPr="00FC6DF6" w:rsidTr="007F50D0">
        <w:trPr>
          <w:trHeight w:val="1550"/>
        </w:trPr>
        <w:tc>
          <w:tcPr>
            <w:tcW w:w="177" w:type="pct"/>
          </w:tcPr>
          <w:p w:rsidR="00EE5DE0" w:rsidRPr="00FC6DF6" w:rsidRDefault="00EE5DE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E5DE0" w:rsidRPr="00FC6DF6" w:rsidRDefault="00EE5DE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Default="00EE5DE0" w:rsidP="0052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EE5DE0" w:rsidRDefault="00EE5DE0" w:rsidP="0052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1483 от 13.04.2018 г. с ИП Заиченко И.В.</w:t>
            </w:r>
          </w:p>
          <w:p w:rsidR="00EE5DE0" w:rsidRPr="00FC6DF6" w:rsidRDefault="00EE5DE0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«Ветеринарный центр на Пирогова»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Pr="00FC6DF6" w:rsidRDefault="00EE5DE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E5DE0" w:rsidRPr="00FC6DF6" w:rsidTr="007F50D0">
        <w:trPr>
          <w:trHeight w:val="1550"/>
        </w:trPr>
        <w:tc>
          <w:tcPr>
            <w:tcW w:w="177" w:type="pct"/>
          </w:tcPr>
          <w:p w:rsidR="00EE5DE0" w:rsidRPr="00FC6DF6" w:rsidRDefault="00EE5DE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E5DE0" w:rsidRPr="00FC6DF6" w:rsidRDefault="00EE5DE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Default="00EE5DE0" w:rsidP="0052207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E5DE0" w:rsidRDefault="00EE5DE0" w:rsidP="00522078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355019, Ставропольский край, город Ставрополь, улица Серова, 523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Pr="00FC6DF6" w:rsidRDefault="00EE5DE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85 посадочных </w:t>
            </w:r>
            <w:proofErr w:type="spellStart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роектор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Genius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SP-E120,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0839F2" w:rsidRPr="00FC6DF6" w:rsidTr="007F50D0">
        <w:tc>
          <w:tcPr>
            <w:tcW w:w="177" w:type="pct"/>
            <w:vMerge/>
          </w:tcPr>
          <w:p w:rsidR="000839F2" w:rsidRPr="00FC6DF6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FC6DF6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0839F2" w:rsidRDefault="000839F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0839F2" w:rsidRPr="00FC6DF6" w:rsidRDefault="000839F2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0839F2" w:rsidRPr="00BC7D6B" w:rsidTr="007F50D0">
        <w:tc>
          <w:tcPr>
            <w:tcW w:w="177" w:type="pct"/>
            <w:vMerge/>
          </w:tcPr>
          <w:p w:rsidR="000839F2" w:rsidRPr="00FC6DF6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FC6DF6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0839F2" w:rsidRDefault="000839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39F2" w:rsidRDefault="00083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0839F2" w:rsidRDefault="000839F2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0839F2" w:rsidRPr="00FC6DF6" w:rsidRDefault="000839F2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839F2" w:rsidRPr="00BC7D6B" w:rsidTr="007F50D0">
        <w:tc>
          <w:tcPr>
            <w:tcW w:w="177" w:type="pct"/>
            <w:vMerge/>
          </w:tcPr>
          <w:p w:rsidR="000839F2" w:rsidRPr="00BC7D6B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BC7D6B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9F2" w:rsidRDefault="000839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39F2" w:rsidRDefault="000839F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0839F2" w:rsidRPr="00FC6DF6" w:rsidRDefault="000839F2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EE5DE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85 посадочных </w:t>
            </w:r>
            <w:proofErr w:type="spellStart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роектор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Genius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SP-E120,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государственным экзаменам и проведение государственных экзаменов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403) (106,5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85 посадочных </w:t>
            </w:r>
            <w:proofErr w:type="spellStart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роектор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Genius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SP-E120,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204A9F" w:rsidRPr="00FC6DF6" w:rsidTr="007F50D0">
        <w:tc>
          <w:tcPr>
            <w:tcW w:w="177" w:type="pct"/>
            <w:vMerge/>
          </w:tcPr>
          <w:p w:rsidR="00204A9F" w:rsidRPr="00FC6DF6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FC6DF6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204A9F" w:rsidRPr="00FC6DF6" w:rsidRDefault="00204A9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204A9F" w:rsidRPr="00BC7D6B" w:rsidTr="007F50D0">
        <w:tc>
          <w:tcPr>
            <w:tcW w:w="177" w:type="pct"/>
            <w:vMerge/>
          </w:tcPr>
          <w:p w:rsidR="00204A9F" w:rsidRPr="00FC6DF6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FC6DF6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204A9F" w:rsidRDefault="0020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A9F" w:rsidRDefault="0020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204A9F" w:rsidRDefault="00204A9F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204A9F" w:rsidRPr="00FC6DF6" w:rsidRDefault="00204A9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204A9F" w:rsidRPr="00BC7D6B" w:rsidTr="007F50D0">
        <w:tc>
          <w:tcPr>
            <w:tcW w:w="177" w:type="pct"/>
            <w:vMerge/>
          </w:tcPr>
          <w:p w:rsidR="00204A9F" w:rsidRPr="00BC7D6B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BC7D6B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204A9F" w:rsidRDefault="00204A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4A9F" w:rsidRDefault="00204A9F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204A9F" w:rsidRPr="00FC6DF6" w:rsidRDefault="00204A9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Sanyo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PLS-XU10 – 1 шт., интерактивная доска SMART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широкоформатный ЖК - монитор LG,  интерактивная доска,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двухполосный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85 посадочных </w:t>
            </w:r>
            <w:proofErr w:type="spellStart"/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роектор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Genius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SP-E120, компьютер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proofErr w:type="spellStart"/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proofErr w:type="spell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7F50D0" w:rsidRDefault="00204A9F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F50D0" w:rsidRPr="00FC6DF6" w:rsidRDefault="007F50D0" w:rsidP="007F50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столы – 9 шт., стулья – 9 шт., компьютеры – 7 шт., плазменная панель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ноутбук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1шт., принтер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МФУ – 1 шт., доступ к сети интернет, выход в корпоративную сеть университета, шкаф – 6 шт., стеллаж – 1 шт., тумба – 3 шт., перфоратор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Makita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паяльная станция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Lukey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инфракрасная паяльная станция ACHIIR-6500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1 шт., источник питания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Xun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электрический лобзик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мультиметр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Mastech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 сетевой тестер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Fluke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intelli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Tone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200 – 1 шт., отвертки – 9 шт., рулетка – 2 шт., молоток – 2 шт., пассатижи – 2 шт.,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3 шт.,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кримпер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для обжима – 4 шт., кабель канал – 40 шт., кабель U/UTP 4 пары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Netlan</w:t>
            </w:r>
            <w:proofErr w:type="spell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610 метров, микшерные пульты </w:t>
            </w:r>
            <w:proofErr w:type="spellStart"/>
            <w:r w:rsidRPr="00FC6DF6">
              <w:rPr>
                <w:rFonts w:ascii="Times New Roman" w:hAnsi="Times New Roman"/>
                <w:sz w:val="24"/>
                <w:szCs w:val="24"/>
              </w:rPr>
              <w:t>Behringer</w:t>
            </w:r>
            <w:proofErr w:type="spellEnd"/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Pr="00FC6DF6" w:rsidRDefault="00AC0BA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A9F" w:rsidRDefault="00204A9F" w:rsidP="0020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Библиотека, читальный зал с выходом в сеть Интернет (площадь – 177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A9F" w:rsidRDefault="00204A9F" w:rsidP="0020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край, город Ставрополь, переулок Зоотехнический, в квартале 112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Default="00AC0BA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275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7F50D0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proofErr w:type="spellEnd"/>
            <w:r w:rsidR="007F50D0">
              <w:rPr>
                <w:rFonts w:ascii="Times New Roman" w:hAnsi="Times New Roman" w:cs="Times New Roman"/>
                <w:sz w:val="24"/>
                <w:szCs w:val="24"/>
              </w:rPr>
              <w:t xml:space="preserve"> край, город Ставрополь,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208 посадочных мест, мультимедийное оборудование для проведения конференций, концертных программ. 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HD+30K яркостью 30000 люмен с широкоформатным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проекционным экраном, а также 4 ЖК-панели PHILIPS диагональю 50". 2 управляемые камеры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8–ми канальная система объёмного звука, 2-а сабвуфера, профессиональное оборудование для подавления шумов и обратной связи,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24–х канальные микшерные пульты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Soundcraft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беспроводные микрофоны SHURE. Сценическое оборудование: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0D0" w:rsidRDefault="007F50D0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C6DF6" w:rsidRPr="00B567CF" w:rsidRDefault="007F50D0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238" w:type="dxa"/>
          </w:tcPr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3A4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факультетов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агрономического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proofErr w:type="spellStart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Pr="00890A3F" w:rsidRDefault="00B719DA" w:rsidP="00D61FA1">
            <w:pPr>
              <w:ind w:firstLine="4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</w:tc>
      </w:tr>
    </w:tbl>
    <w:p w:rsidR="000056FC" w:rsidRDefault="000056FC" w:rsidP="002E61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0056FC" w:rsidSect="00FC6DF6">
      <w:footerReference w:type="default" r:id="rId9"/>
      <w:pgSz w:w="16838" w:h="11906" w:orient="landscape"/>
      <w:pgMar w:top="1135" w:right="395" w:bottom="568" w:left="1134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78" w:rsidRDefault="00522078" w:rsidP="00B567CF">
      <w:pPr>
        <w:spacing w:after="0" w:line="240" w:lineRule="auto"/>
      </w:pPr>
      <w:r>
        <w:separator/>
      </w:r>
    </w:p>
  </w:endnote>
  <w:endnote w:type="continuationSeparator" w:id="0">
    <w:p w:rsidR="00522078" w:rsidRDefault="00522078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669178"/>
      <w:docPartObj>
        <w:docPartGallery w:val="Page Numbers (Bottom of Page)"/>
        <w:docPartUnique/>
      </w:docPartObj>
    </w:sdtPr>
    <w:sdtEndPr/>
    <w:sdtContent>
      <w:p w:rsidR="00522078" w:rsidRDefault="005220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26">
          <w:rPr>
            <w:noProof/>
          </w:rPr>
          <w:t>59</w:t>
        </w:r>
        <w:r>
          <w:fldChar w:fldCharType="end"/>
        </w:r>
      </w:p>
    </w:sdtContent>
  </w:sdt>
  <w:p w:rsidR="00522078" w:rsidRDefault="005220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78" w:rsidRDefault="00522078" w:rsidP="00B567CF">
      <w:pPr>
        <w:spacing w:after="0" w:line="240" w:lineRule="auto"/>
      </w:pPr>
      <w:r>
        <w:separator/>
      </w:r>
    </w:p>
  </w:footnote>
  <w:footnote w:type="continuationSeparator" w:id="0">
    <w:p w:rsidR="00522078" w:rsidRDefault="00522078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3D"/>
    <w:multiLevelType w:val="hybridMultilevel"/>
    <w:tmpl w:val="D828F0F0"/>
    <w:lvl w:ilvl="0" w:tplc="B5E4A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2F50"/>
    <w:multiLevelType w:val="hybridMultilevel"/>
    <w:tmpl w:val="87EA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875"/>
    <w:multiLevelType w:val="hybridMultilevel"/>
    <w:tmpl w:val="B3E6F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C94"/>
    <w:multiLevelType w:val="hybridMultilevel"/>
    <w:tmpl w:val="9F74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5E38"/>
    <w:multiLevelType w:val="multilevel"/>
    <w:tmpl w:val="8684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B7730B"/>
    <w:multiLevelType w:val="hybridMultilevel"/>
    <w:tmpl w:val="9B381840"/>
    <w:lvl w:ilvl="0" w:tplc="C4CEA8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765FA"/>
    <w:multiLevelType w:val="hybridMultilevel"/>
    <w:tmpl w:val="032C3266"/>
    <w:lvl w:ilvl="0" w:tplc="62EED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154A"/>
    <w:multiLevelType w:val="hybridMultilevel"/>
    <w:tmpl w:val="A6BA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05549"/>
    <w:multiLevelType w:val="hybridMultilevel"/>
    <w:tmpl w:val="1AE04B32"/>
    <w:lvl w:ilvl="0" w:tplc="4334A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56FC"/>
    <w:rsid w:val="00013F8C"/>
    <w:rsid w:val="00016E78"/>
    <w:rsid w:val="00017057"/>
    <w:rsid w:val="00024102"/>
    <w:rsid w:val="00027C8C"/>
    <w:rsid w:val="000458E3"/>
    <w:rsid w:val="000513F3"/>
    <w:rsid w:val="000561B6"/>
    <w:rsid w:val="00056484"/>
    <w:rsid w:val="00057499"/>
    <w:rsid w:val="000839F2"/>
    <w:rsid w:val="000A5707"/>
    <w:rsid w:val="000C4043"/>
    <w:rsid w:val="000D40D4"/>
    <w:rsid w:val="000E7390"/>
    <w:rsid w:val="000F5B43"/>
    <w:rsid w:val="00112787"/>
    <w:rsid w:val="00121D06"/>
    <w:rsid w:val="0013151C"/>
    <w:rsid w:val="001374E6"/>
    <w:rsid w:val="001429AF"/>
    <w:rsid w:val="00150EB7"/>
    <w:rsid w:val="00154BC6"/>
    <w:rsid w:val="00157136"/>
    <w:rsid w:val="00162CBA"/>
    <w:rsid w:val="0018579D"/>
    <w:rsid w:val="001936F3"/>
    <w:rsid w:val="0019392E"/>
    <w:rsid w:val="001B4D74"/>
    <w:rsid w:val="001C74CE"/>
    <w:rsid w:val="001D15F3"/>
    <w:rsid w:val="001D2480"/>
    <w:rsid w:val="001D3D38"/>
    <w:rsid w:val="001E310B"/>
    <w:rsid w:val="001E7DCF"/>
    <w:rsid w:val="001F1925"/>
    <w:rsid w:val="001F364C"/>
    <w:rsid w:val="00201AF8"/>
    <w:rsid w:val="00204A9F"/>
    <w:rsid w:val="002114FD"/>
    <w:rsid w:val="0022499F"/>
    <w:rsid w:val="00227608"/>
    <w:rsid w:val="00231ED5"/>
    <w:rsid w:val="00242293"/>
    <w:rsid w:val="002479AA"/>
    <w:rsid w:val="00253B80"/>
    <w:rsid w:val="00261FCE"/>
    <w:rsid w:val="00270AEE"/>
    <w:rsid w:val="00276A15"/>
    <w:rsid w:val="00283FA6"/>
    <w:rsid w:val="002A46BD"/>
    <w:rsid w:val="002B3B6D"/>
    <w:rsid w:val="002B62C8"/>
    <w:rsid w:val="002C1A5E"/>
    <w:rsid w:val="002E6126"/>
    <w:rsid w:val="002F1AB5"/>
    <w:rsid w:val="003041A0"/>
    <w:rsid w:val="00327C46"/>
    <w:rsid w:val="003378D2"/>
    <w:rsid w:val="003410AB"/>
    <w:rsid w:val="003519ED"/>
    <w:rsid w:val="003618CF"/>
    <w:rsid w:val="00364328"/>
    <w:rsid w:val="00367B5A"/>
    <w:rsid w:val="0037151E"/>
    <w:rsid w:val="00377EE4"/>
    <w:rsid w:val="00394FB4"/>
    <w:rsid w:val="00395744"/>
    <w:rsid w:val="003A4A3F"/>
    <w:rsid w:val="003B2FB1"/>
    <w:rsid w:val="003C34BF"/>
    <w:rsid w:val="00404A12"/>
    <w:rsid w:val="00404EC4"/>
    <w:rsid w:val="00412F73"/>
    <w:rsid w:val="00422228"/>
    <w:rsid w:val="004257EF"/>
    <w:rsid w:val="004308C8"/>
    <w:rsid w:val="00437A41"/>
    <w:rsid w:val="00450BA2"/>
    <w:rsid w:val="00472537"/>
    <w:rsid w:val="00472E82"/>
    <w:rsid w:val="004739DF"/>
    <w:rsid w:val="00473FFA"/>
    <w:rsid w:val="00477032"/>
    <w:rsid w:val="004828A8"/>
    <w:rsid w:val="00484E58"/>
    <w:rsid w:val="004969F1"/>
    <w:rsid w:val="004A3EAF"/>
    <w:rsid w:val="004B0FB3"/>
    <w:rsid w:val="004D34E5"/>
    <w:rsid w:val="004D4F5F"/>
    <w:rsid w:val="004F4440"/>
    <w:rsid w:val="004F52BD"/>
    <w:rsid w:val="00505347"/>
    <w:rsid w:val="005119B7"/>
    <w:rsid w:val="00522078"/>
    <w:rsid w:val="0052572B"/>
    <w:rsid w:val="005260EE"/>
    <w:rsid w:val="0052767F"/>
    <w:rsid w:val="0053772B"/>
    <w:rsid w:val="00556297"/>
    <w:rsid w:val="00563F35"/>
    <w:rsid w:val="0057036E"/>
    <w:rsid w:val="00576941"/>
    <w:rsid w:val="005869F7"/>
    <w:rsid w:val="00596CA8"/>
    <w:rsid w:val="005B2A00"/>
    <w:rsid w:val="005B3BB1"/>
    <w:rsid w:val="005C33C4"/>
    <w:rsid w:val="005C4645"/>
    <w:rsid w:val="005C62FB"/>
    <w:rsid w:val="005D49B8"/>
    <w:rsid w:val="005D7B08"/>
    <w:rsid w:val="005E4320"/>
    <w:rsid w:val="006049DD"/>
    <w:rsid w:val="00610B59"/>
    <w:rsid w:val="006239EA"/>
    <w:rsid w:val="006316AC"/>
    <w:rsid w:val="00632FA6"/>
    <w:rsid w:val="00633F3E"/>
    <w:rsid w:val="0063447E"/>
    <w:rsid w:val="00635EE1"/>
    <w:rsid w:val="00642F57"/>
    <w:rsid w:val="006671F9"/>
    <w:rsid w:val="00696ABF"/>
    <w:rsid w:val="006B3DDB"/>
    <w:rsid w:val="006B7DBA"/>
    <w:rsid w:val="006C1050"/>
    <w:rsid w:val="006D62E7"/>
    <w:rsid w:val="006E2748"/>
    <w:rsid w:val="006E324C"/>
    <w:rsid w:val="006F0844"/>
    <w:rsid w:val="006F5A42"/>
    <w:rsid w:val="00705DB8"/>
    <w:rsid w:val="00706759"/>
    <w:rsid w:val="00715469"/>
    <w:rsid w:val="007174EB"/>
    <w:rsid w:val="00720F3C"/>
    <w:rsid w:val="00721ADD"/>
    <w:rsid w:val="007317CE"/>
    <w:rsid w:val="007344D4"/>
    <w:rsid w:val="00737191"/>
    <w:rsid w:val="0074068F"/>
    <w:rsid w:val="00740F31"/>
    <w:rsid w:val="00752BFB"/>
    <w:rsid w:val="00752D36"/>
    <w:rsid w:val="00757B5B"/>
    <w:rsid w:val="0076175C"/>
    <w:rsid w:val="00783210"/>
    <w:rsid w:val="00784323"/>
    <w:rsid w:val="00786847"/>
    <w:rsid w:val="007910F0"/>
    <w:rsid w:val="00795178"/>
    <w:rsid w:val="00797220"/>
    <w:rsid w:val="007A72B2"/>
    <w:rsid w:val="007B2E3C"/>
    <w:rsid w:val="007C00E1"/>
    <w:rsid w:val="007D5DF7"/>
    <w:rsid w:val="007E0ABE"/>
    <w:rsid w:val="007E1670"/>
    <w:rsid w:val="007E1C9F"/>
    <w:rsid w:val="007F50D0"/>
    <w:rsid w:val="007F5AE7"/>
    <w:rsid w:val="00807103"/>
    <w:rsid w:val="00813E27"/>
    <w:rsid w:val="00815B58"/>
    <w:rsid w:val="00837F8E"/>
    <w:rsid w:val="00853264"/>
    <w:rsid w:val="0088393A"/>
    <w:rsid w:val="0089089E"/>
    <w:rsid w:val="0089135F"/>
    <w:rsid w:val="00891A27"/>
    <w:rsid w:val="008B4091"/>
    <w:rsid w:val="008D1166"/>
    <w:rsid w:val="008D29D0"/>
    <w:rsid w:val="008E1B9D"/>
    <w:rsid w:val="008E3F5E"/>
    <w:rsid w:val="008E60C8"/>
    <w:rsid w:val="009110DE"/>
    <w:rsid w:val="00913550"/>
    <w:rsid w:val="00914EA1"/>
    <w:rsid w:val="00921D04"/>
    <w:rsid w:val="00923901"/>
    <w:rsid w:val="00931EDE"/>
    <w:rsid w:val="0093550A"/>
    <w:rsid w:val="00964871"/>
    <w:rsid w:val="009665C1"/>
    <w:rsid w:val="009707B2"/>
    <w:rsid w:val="00983D53"/>
    <w:rsid w:val="009971DB"/>
    <w:rsid w:val="009A0D66"/>
    <w:rsid w:val="009A767E"/>
    <w:rsid w:val="009B4C9C"/>
    <w:rsid w:val="009C4F6B"/>
    <w:rsid w:val="009C7EF4"/>
    <w:rsid w:val="009E3508"/>
    <w:rsid w:val="009E7F61"/>
    <w:rsid w:val="00A03A09"/>
    <w:rsid w:val="00A36266"/>
    <w:rsid w:val="00A4600B"/>
    <w:rsid w:val="00A47AE4"/>
    <w:rsid w:val="00A521EB"/>
    <w:rsid w:val="00A71E5E"/>
    <w:rsid w:val="00A7615F"/>
    <w:rsid w:val="00A7635F"/>
    <w:rsid w:val="00A77F2E"/>
    <w:rsid w:val="00A84416"/>
    <w:rsid w:val="00A84B1C"/>
    <w:rsid w:val="00A876C9"/>
    <w:rsid w:val="00A87889"/>
    <w:rsid w:val="00AB04D6"/>
    <w:rsid w:val="00AB533C"/>
    <w:rsid w:val="00AB61FA"/>
    <w:rsid w:val="00AC0BA6"/>
    <w:rsid w:val="00AE326A"/>
    <w:rsid w:val="00AE4D2B"/>
    <w:rsid w:val="00AE61BF"/>
    <w:rsid w:val="00B02591"/>
    <w:rsid w:val="00B054E9"/>
    <w:rsid w:val="00B1040C"/>
    <w:rsid w:val="00B14099"/>
    <w:rsid w:val="00B143FB"/>
    <w:rsid w:val="00B1548E"/>
    <w:rsid w:val="00B22A7D"/>
    <w:rsid w:val="00B51019"/>
    <w:rsid w:val="00B567CF"/>
    <w:rsid w:val="00B56D90"/>
    <w:rsid w:val="00B63ABB"/>
    <w:rsid w:val="00B70E6B"/>
    <w:rsid w:val="00B715A7"/>
    <w:rsid w:val="00B719DA"/>
    <w:rsid w:val="00B72236"/>
    <w:rsid w:val="00B75B04"/>
    <w:rsid w:val="00B96E74"/>
    <w:rsid w:val="00BA6657"/>
    <w:rsid w:val="00BC1D1B"/>
    <w:rsid w:val="00BC7D6B"/>
    <w:rsid w:val="00BF5F87"/>
    <w:rsid w:val="00C01F3E"/>
    <w:rsid w:val="00C03497"/>
    <w:rsid w:val="00C05349"/>
    <w:rsid w:val="00C05A81"/>
    <w:rsid w:val="00C12CE2"/>
    <w:rsid w:val="00C12E0E"/>
    <w:rsid w:val="00C17436"/>
    <w:rsid w:val="00C32A63"/>
    <w:rsid w:val="00C35982"/>
    <w:rsid w:val="00C40624"/>
    <w:rsid w:val="00C54912"/>
    <w:rsid w:val="00C6728C"/>
    <w:rsid w:val="00C73985"/>
    <w:rsid w:val="00C742E3"/>
    <w:rsid w:val="00C91DF3"/>
    <w:rsid w:val="00C93D9F"/>
    <w:rsid w:val="00CA6D8A"/>
    <w:rsid w:val="00CA739D"/>
    <w:rsid w:val="00CB2DA7"/>
    <w:rsid w:val="00CB4287"/>
    <w:rsid w:val="00CC1EB7"/>
    <w:rsid w:val="00CC26E6"/>
    <w:rsid w:val="00CC76A1"/>
    <w:rsid w:val="00CD59E2"/>
    <w:rsid w:val="00D006A5"/>
    <w:rsid w:val="00D04F86"/>
    <w:rsid w:val="00D073D6"/>
    <w:rsid w:val="00D366CF"/>
    <w:rsid w:val="00D36F3C"/>
    <w:rsid w:val="00D37E09"/>
    <w:rsid w:val="00D40A7C"/>
    <w:rsid w:val="00D5131F"/>
    <w:rsid w:val="00D531E0"/>
    <w:rsid w:val="00D53F39"/>
    <w:rsid w:val="00D55B77"/>
    <w:rsid w:val="00D57A61"/>
    <w:rsid w:val="00D61C91"/>
    <w:rsid w:val="00D61FA1"/>
    <w:rsid w:val="00D72BE6"/>
    <w:rsid w:val="00D83D8A"/>
    <w:rsid w:val="00D87D88"/>
    <w:rsid w:val="00DA19EF"/>
    <w:rsid w:val="00DB756F"/>
    <w:rsid w:val="00DD5646"/>
    <w:rsid w:val="00DE17C6"/>
    <w:rsid w:val="00DF5E21"/>
    <w:rsid w:val="00E02B17"/>
    <w:rsid w:val="00E12559"/>
    <w:rsid w:val="00E44B43"/>
    <w:rsid w:val="00E44B4D"/>
    <w:rsid w:val="00E62B72"/>
    <w:rsid w:val="00E71F2F"/>
    <w:rsid w:val="00E830E1"/>
    <w:rsid w:val="00EB6D75"/>
    <w:rsid w:val="00EC7976"/>
    <w:rsid w:val="00ED2213"/>
    <w:rsid w:val="00EE5DE0"/>
    <w:rsid w:val="00F14DF9"/>
    <w:rsid w:val="00F20697"/>
    <w:rsid w:val="00F21FC3"/>
    <w:rsid w:val="00F22114"/>
    <w:rsid w:val="00F23684"/>
    <w:rsid w:val="00F237B4"/>
    <w:rsid w:val="00F32B64"/>
    <w:rsid w:val="00F411F1"/>
    <w:rsid w:val="00F54BB0"/>
    <w:rsid w:val="00F572A2"/>
    <w:rsid w:val="00F629F4"/>
    <w:rsid w:val="00F67A89"/>
    <w:rsid w:val="00F70B52"/>
    <w:rsid w:val="00F7245C"/>
    <w:rsid w:val="00F75770"/>
    <w:rsid w:val="00F91754"/>
    <w:rsid w:val="00FA1A67"/>
    <w:rsid w:val="00FA2BF1"/>
    <w:rsid w:val="00FC6DF6"/>
    <w:rsid w:val="00FE530D"/>
    <w:rsid w:val="00FE626F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015"/>
  </w:style>
  <w:style w:type="paragraph" w:styleId="ae">
    <w:name w:val="footer"/>
    <w:basedOn w:val="a"/>
    <w:link w:val="af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015"/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772B"/>
  </w:style>
  <w:style w:type="character" w:customStyle="1" w:styleId="MSReferenceSansSerif7pt0pt">
    <w:name w:val="Основной текст + MS Reference Sans Serif;7 pt;Полужирный;Интервал 0 pt"/>
    <w:rsid w:val="00C3598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C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015"/>
  </w:style>
  <w:style w:type="paragraph" w:styleId="ae">
    <w:name w:val="footer"/>
    <w:basedOn w:val="a"/>
    <w:link w:val="af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015"/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772B"/>
  </w:style>
  <w:style w:type="character" w:customStyle="1" w:styleId="MSReferenceSansSerif7pt0pt">
    <w:name w:val="Основной текст + MS Reference Sans Serif;7 pt;Полужирный;Интервал 0 pt"/>
    <w:rsid w:val="00C3598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C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555F-4BEE-482B-B2E1-ACFC9604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20646</Words>
  <Characters>117684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Захватова Елена Валентиновна</dc:creator>
  <cp:lastModifiedBy>Сотрудник ИДПО</cp:lastModifiedBy>
  <cp:revision>3</cp:revision>
  <cp:lastPrinted>2019-07-04T05:53:00Z</cp:lastPrinted>
  <dcterms:created xsi:type="dcterms:W3CDTF">2021-03-16T09:05:00Z</dcterms:created>
  <dcterms:modified xsi:type="dcterms:W3CDTF">2021-03-16T13:07:00Z</dcterms:modified>
</cp:coreProperties>
</file>